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8 vom 21. August 2013</w:t>
      </w:r>
    </w:p>
    <w:p>
      <w:r>
        <w:t>GR Gerichte, 2013-08-21, DE</w:t>
      </w:r>
    </w:p>
    <w:p>
      <w:r>
        <w:rPr>
          <w:b/>
        </w:rPr>
        <w:t xml:space="preserve">Quelle: </w:t>
      </w:r>
      <w:r>
        <w:t>https://mcp.opencaselaw.ch/entscheid/gr_gerichte_SK2 2013 8</w:t>
      </w:r>
    </w:p>
    <w:p>
      <w:r>
        <w:t>FR: GR_GERICHTE SK2 2013 8 du 21 août 2013</w:t>
      </w:r>
    </w:p>
    <w:p>
      <w:r>
        <w:t>IT: GR_GERICHTE SK2 2013 8 del 21 agosto 2013</w:t>
      </w:r>
    </w:p>
    <w:p>
      <w:pPr>
        <w:pStyle w:val="Heading2"/>
      </w:pPr>
      <w:r>
        <w:t>Regeste</w:t>
      </w:r>
    </w:p>
    <w:p>
      <w:r>
        <w:t>Betrug gemäss Art. 146 Abs. 1 StGB | Beschwerde gegen StA, Einstellungsverfügung</w:t>
      </w:r>
    </w:p>
    <w:p>
      <w:pPr>
        <w:pStyle w:val="Heading2"/>
      </w:pPr>
      <w:r>
        <w:t>Erwägungen</w:t>
      </w:r>
    </w:p>
    <w:p>
      <w:r>
        <w:rPr>
          <w:b/>
        </w:rPr>
        <w:t>E. 2</w:t>
      </w:r>
    </w:p>
    <w:p>
      <w:r>
        <w:t>Die Beschwerde stellt nach Art. 393 Abs. 2 StPO ein umfassendes ordentli- ches Rechtsmittel dar. Die Rechtsmittelinstanz verfügt über volle Kognition und mit der Beschwerde können sämtliche Mängel eines angefochtenen Entscheids gel- tend gemacht werden (Stephenson/Thiriet, in: Niggli/Heer/Wiprächtiger [Hrsg.], Basler Kommentar zur Schweizerischen Strafprozessordnung, Basel 2011, N 15 zu Art. 393 StPO; Keller, in: Donatsch/Hansjakob/Lieber [Hrsg.], Kommentar zur Schweizerischen Strafprozessordnung [StPO], Zürich 2010, N 38 f. zu Art. 393 StPO; Schmid, a.a.O., N 16 zu Art. 393 StPO).</w:t>
      </w:r>
    </w:p>
    <w:p>
      <w:r>
        <w:rPr>
          <w:b/>
        </w:rPr>
        <w:t>E. 3</w:t>
      </w:r>
    </w:p>
    <w:p>
      <w:r>
        <w:t>Es gilt im Folgenden zu prüfen, ob die Staatsanwaltschaft Graubünden auf- grund der Aktenlage berechtigterweise Zweifel an einem gerichtlichen Schuld- spruch haben und daher unter Anwendung von Art. 319 Abs. 1 lit. a StPO das Ver- fahren einstellen durfte. 4.a) Gemäss Art. 319 Abs. 1 lit. a StPO ist ein Strafverfahren unter anderem dann einzustellen, wenn kein Tatverdacht erhärtet ist, der eine Anklage rechtfer- tigt. Erforderlich ist, dass bei erfolgter Anklageerhebung nicht mit einem verurtei- lenden Erkenntnis des Gerichts zu rechnen ist (Schmid, a.a.O., N 5 zu Art. 319 StPO). Die Beurteilung der Prozessaussicht ist dem Ermessen der Staatsanwalt-</w:t>
      </w:r>
    </w:p>
    <w:p>
      <w:r>
        <w:t>Seite 7 — 15 schaft anheimgestellt (BGer vom 6.4.2009, 6B_915/2008, Erw. 3.1; Landshut, a.a.O., N 16 zu Art. 319 mit Verw.). Allerdings hat sich die Staatsanwaltschaft bei der Frage, ob ein genügender Tatverdacht besteht, Zurückhaltung aufzuerlegen. In Zweifelsfällen sachverhalts- sowie beweismässiger und vor allem rechtlicher Art ist in Beachtung des Grundsatzes „in dubio pro duriore“ und eben nicht „in dubio pro reo“ von einer Einstellung abzusehen, da in diesen Fällen das Urteil dem Ge- richt überlassen bleiben soll (Landshut, a.a.O., N 16 zu Art. 319 StPO; Schmid, a.a.O., N 5 zu Art. 319 StPO). „In dubio pro duriore“ bedeutet, dass eine Einstel- lung durch die Staatsanwaltschaft grundsätzlich nur bei klarer Straflosigkeit bezie- hungsweise offensichtlich fehlenden Prozessvoraussetzungen angeordnet werden darf. Hingegen ist – sofern die Erledigung mit einem Strafbefehl nicht in Frage kommt – Anklage zu erheben, wenn eine Verurteilung wahrscheinlicher erscheint als ein Freispruch (BGer vom 11.04.2008, 6B_588/2007, Erw. 3.2.3; BGer vom 13.8.2009, 6B_115/2009, Erw. 2.4). Falls sich die Wahrscheinlichkeit eines Frei- spruches und einer Verurteilung in etwa die Waage halten, drängt sich nach dem genannten Grundsatz in der Regel, insbesondere bei schweren Delikten, ebenfalls eine Anklageerhebung auf (BGer vom 27. März 2012, 1B_687/2011, E. 4.1.2; BGer vom 3. Juli 2012, 1B_78/2012, E. 4.1). Erscheint dagegen die Möglichkeit einer Verurteilung bei Würdigung sämtlicher Umstände im Sinne dieser Recht- sprechung als unwahrscheinlich oder jedenfalls deutlich geringer als ein Frei- spruch, so ist das Verfahren einzustellen. b) Gemäss Art. 319 Abs. 1 lit b StPO ist ein Strafverfahren unter anderem dann einzustellen, wenn kein Straftatbestand erfüllt ist. Dies ist dann der Fall, wenn das inkriminierte Verhalten – selbst wenn es nachgewiesen wäre – nicht den objektiven oder subjektiven Tatbestand erfüllt. So kann eine Einstellung in Fällen erfolgen, in denen ein Tatbestandselement (z.B. beim Betrug die Arglist oder bei der Gefährdung des Lebens die Skrupellosigkeit) ganz offensichtlich nicht gege- ben ist, wobei in solchen, in denen schwer fassbare Gesetzesbegriffe wie z.B. Arglist oder Fahrlässigkeit die Grenze zwischen strafbarem und straflosem Verhal- ten ziehen, besondere Zurückhaltung geboten ist. In Befolgung des erwähnten Grundsatzes „in dubio pro duriore“ ist bei solchen Fällen grundsätzlich Anklage zu erheben, da in den wenigsten Fällen ein Freispruch mit Sicherheit oder grösster Wahrscheinlichkeit von vornherein feststeht (Grädel/Heiniger, a.a.O., N 9 zu Art. 319 StPO; Landshut, a.a.O., N 19 f. zu Art. 319 StPO).</w:t>
      </w:r>
    </w:p>
    <w:p>
      <w:r>
        <w:rPr>
          <w:b/>
        </w:rPr>
        <w:t>E. 5</w:t>
      </w:r>
    </w:p>
    <w:p>
      <w:r>
        <w:t>Einen Betrug nach Art. 146 StGB begeht, „wer in Absicht, sich oder einen andern unrechtmässig zu bereichern, jemanden durch Vorspiegelung oder Unter-</w:t>
      </w:r>
    </w:p>
    <w:p>
      <w:r>
        <w:t>Seite 8 — 15 drückung von Tatsachen arglistig irreführt oder ihn in einem Irrtum arglistig bestärkt und so den Irrenden zu einem Verhalten bestimmt, wodurch dieser sich selbst oder einen andern am Vermögen schädigt […]“. Die objektiven Tatbe- standsmerkmale des Betrugs sind die arglistige Täuschung, der Irrtum, die Ver- mögensdisposition und der Vermögensschaden und ein entsprechender Motivati- ons- und Kausalzusammenhang. Täuschung ist jedes Verhalten, das darauf ge- richtet ist, bei einem andern eine von der Wirklichkeit abweichende Vorstellung - folglich einen Irrtum - hervorzurufen (Trechsel/Crameri, in: Trechsel/Pieth [Hrsg.], Praxiskommentar zum Schweizerischen Strafgesetzbuch, Zürich/St.Gallen 2013, N 2 zu Art. 146 StGB). Die Täuschung kann konkludent oder auch ausdrücklich durch die Sprache oder Gesten erfolgen (Trechsel/Crameri, a.a.O., N 3 zu Art. 146 StGB; Stratenwerth/Jenny/Bommer, Schweizerisches Strafgesetzbuch, Besonde- rer Teil I, Bern 2010, N 13 ff. § 15; Arzt, in: Niggli/Wiprächtiger [Hrsg.], Basler Kommentar zum Strafrecht II, Basel 2013, N 42 ff. zu Art. 146 StGB). Durch die Vorspiegelung wird beim zu Täuschenden der Anschein erweckt, in Wirklichkeit nicht vorhandene relevante Umstände liegen vor bzw. bei der Unterdrückung, vor- handene relevante Umstände liegen nicht vor. Bei beiden Konstellationen handelt es sich um eine Täuschung durch aktives Tun (Stratenwerth/Jenny/Bommer, a.a.O., N 16 zu § 15). Die Aufgabe der Rechtsprechung ist es festzustellen, wel- chen Erklärungsinhalt der Verhaltensweise zukommt (Trechsel/Crameri, a.a.O., N 3 zu Art. 146 StGB). Auch mit blossem Schweigen wird unter Umständen ein ge- wisser Erklärungsinhalt vermittelt. Dann spricht man von qualifiziertem Schweigen im Gegensatz zum einfachen Schweigen, welches nur bei Vorliegen einer Auf- klärungspflicht eine durch Unterlassung begangene Täuschung sein kann (Stra- tenwerth/Jenny/Bommer, a.a.O., N 15 und N 21 ff. zu § 15; Trechsel/Crameri, a.a.O., N 4 zu Art. 146 StGB). Eine entsprechende Aufklärungspflicht kann sich durch Gesetz, Vertrag oder Treu und Glauben ergeben. Täuschen kann dem Ge- setzeswortlaut entsprechend auch, wer jemanden in einem Irrtum arglistig bestärkt. Die Täuschung muss sich stets auf Tatsachen beziehen, so hält es be- reits der Gesetzeswortlaut fest. Wer täuscht, handelt dann im Sinne der gesetzli- chen Voraussetzung arglistig, wenn er ein ganzes Lügengebäude errichtet oder besondere Machenschaften anwendet (qualifizierte falsche Angaben) (Trech- sel/Crameri, a.a.O., N 8 zu Art. 146 StGB; Stratenwerth/Jenny/Bommer, a.a.O., N 17 ff. zu § 15). Bedient er sich dagegen einfacher Lügen bzw. verschweigt er et- was, dann handelt er arglistig, wenn die Überprüfung derselben nicht oder nur mit besonderer Mühe vorgenommen werden kann, der Täter weitere Vorkehrungen trifft, um die Überprüfung zu verhindern, die Überprüfung dem Dritten nicht zuge-</w:t>
      </w:r>
    </w:p>
    <w:p>
      <w:r>
        <w:t>Seite 9 — 15 mutet werden kann oder er diese voraussehbar unterlassen wird, wobei sich letz- teres aufgrund besonderer Umstände, wie z.B. wegen einer langjährigen Ge- schäftsbeziehung, aufdrängen muss (Trechsel/Crameri, a.a.O., N 7 zu Art. 146 StGB; Stratenwerth/Jenny/Bommer, a.a.O., N 18 ff. zu § 15). Strafrechtlich ist der- jenige jedoch nicht zu schützen, der sich mit einem Mindestmass an Aufmerksam- keit selbst hätte schützen können und den Irrtum durch ein Minimum an zumutba- rer Vorsicht hätte vermeiden können (BGE 72 IV 128, E. 1; BGE 100 IV 274, E. 1; BGE 99 IV 77 f., E. 4 f.). „Entsprechend entfällt der strafrechtliche Schutz nicht bei jeder Fahrlässigkeit des Opfers, sondern nur bei Leichtfertigkeit, welche das be- trügerische Verhalten des Täters in den Hintergrund treten lässt“ (BGE 135 IV 81 ff., E 5.2 mit Verw. auf BGE 128 IV 18 E. 3a; BGE 126 IV 165 E. 2a; BGE 122 IV 146 E. 3a mit Hinweisen). Die die Strafbarkeit ausschliessende Opfermitverant- wortung ist nur in Ausnahmefällen zu bejahen (BGer vom 6. November 2006, 6S.168/2006, E. 1.2 und vom 1. Februar 2007, 6S.167/2006 E. 3.4; BGE 135 IV 81 ff., E 5.2). 6.a) Es ist also zunächst die Frage zu beantworten, über welche Tatsachen die Beschwerdeführerin behauptet getäuscht worden zu sein und ob dies arglistig ge- schah. b) Die Beschwerdegegnerin habe von der Beschwerdeführerin, ohne für diese als Maklerin tätig gewesen zu sein, eine Provision verlangt und mit Ausstellung der Rechnung glaubhaft gemacht, dass eine Pflicht zur Zahlung bestehe (vgl. Ak- ten Staatsanwaltschaft, Dossier 3, act. 1, S. 7). Sie habe denn auch verschwie- gen, dass sie bereits für die Verkäuferin als Maklerin tätig sei und aufgrund dieses Vertragsverhältnisses bereits eine Provision erhalten würde (vgl. Beschwerde, S.12 und Akten Staatsanwaltschaft, Dossier 3, act. 1, S. 7). Sollte ein Vertrags- verhältnis zwischen der Beschwerdeführerin und der Beschwerdegegnerin ange- nommen werden, würde eine Doppelmäkelei und damit ein Interessenkonflikt der Beschwerdegegnerin vorliegen. Zum Zwecke der Kassierung einer doppelten Pro- vision hätte die Beschwerdegegnerin die Beschwerdeführerin willentlich und wis- sentlich nicht über den Interessenkonflikt aufgeklärt (Akten Staatsanwaltschaft, Dossier 3, act. 1, S. 8). Die Beschwerdegegnerin habe gewusst, dass in Italien von beiden Parteien Mäklerprovisionen genommen werden und genommen wer- den dürfen und habe deshalb auch gewusst, dass die Beschwerdeführerin von dieser Rechtslage ausgehen würde und sich nicht weiter bei ihrem damaligen Rechtsanwalt versichern würde (vgl. Beschwerde, S. 12).</w:t>
      </w:r>
    </w:p>
    <w:p>
      <w:r>
        <w:t>Seite 10 — 15 c) Das der Beschwerdegegnerin vorgeworfene Verhalten ist die aktive Forde- rung einer Vergütung und damit einhergehend die Erklärung, es bestehe eine Schuldpflicht, sowie das Schweigen über eine bereits vorliegende Mäklerverpflich- tung gegenüber der Verkäuferin. Inwiefern bei der Beschwerdeführerin dadurch ein Irrtum hervorgerufen wurde geht aus den Rechtsschriften nicht klar hervor. Einerseits rügt die Beschwerdeführerin, sie sei nicht Auftraggeberin gewesen und habe sich über die Zahlungspflicht geirrt und andererseits über die Tatsache, dass die Beschwerdegegnerin bereits als Maklerin für die verkaufende Partei tätig ge- wesen sei und dort eine Provision erhalten würde. Zu Letzterem ist zunächst an- zumerken, dass in keinster Weise nachvollzogen werden kann, inwiefern es für die Beschwerdeführerin nicht klar gewesen sein soll, dass die Beschwerdegegnerin für die Verkäuferin der Eigentumswohnung der Liegenschaft A._____ als Maklerin beschäftigt war. Die Beschwerdeführerin selbst erklärte, dass sie anfangs 2007 an der Baustelle der besagten Liegenschaft vorbei ging und der Bautafel entnehmen konnte, „dass die Beschwerdegegnerin 1 bzw. deren Aktiengesellschaft, die Y._____ AG, von der Bauherrin und Eigentümerin, Frau B._____, mit dem Verkauf dieser Wohnungen beauftragt worden war“ (Beschwerde, S. 4; vgl. auch Akten Staatsanwaltschaft, Dossier 3, act. 1, S. 1 ). Dass im Rahmen eines solchen Man- dats auch eine Provision vereinbart wird, muss für die Beschwerdeführerin klar gewesen sein und kann von ihr nicht ernsthaft abgestritten werden. Dies auch in Anbetracht, dass entsprechende Provisionsvereinbarungen zwischen Makler und Verkäufer auch in Italien üblich zu sein scheinen, wie die Beschwerdeführerin selbst ausführt. Folglich kann diesbezüglich kein Irrtum vorgelegen haben. Die Unzulässigkeit einer Doppelmäkelei wäre diesfalls ausgeschlossen, da die Be- schwerdeführerin über den möglichen Interessenkonflikt Bescheid wissen musste und damit ein allfälliges Doppelmandat genehmigt wurde. Auf weitere zivilrechtli- che Ausführungen zur Zulässigkeit einer Doppelmäkelei kann deshalb verzichtet werden. Wieso die Beschwerdeführerin auf eine Provisionszahlung mit Sicherheit verzich- tet hätte, wenn sie von der Provisionszahlung der Verkäuferin gewusst hätte, kann ebenfalls nicht nachvollzogen werden. Denn diese Argumentation würde konse- quenterweise bedeuten, dass sich die Beschwerdeführerin über die eigene Schuldpflicht nicht geirrt hat bzw. die eigene Zahlung nicht beanstandet worden wäre, wäre die Beschwerdegegnerin nicht bereits gegenüber der Verkäuferschaft provisionsberechtigt gewesen. Geht die Beschwerdeführerin tatsächlich von der italienischen Rechtslage aus, bei welcher es ihren Ausführungen nach üblich ist, sich von beiden Seiten Provisionen versprechen und auszahlen zu lassen, wäre ja</w:t>
      </w:r>
    </w:p>
    <w:p>
      <w:r>
        <w:t>Seite 11 — 15 nichts gegen die Zahlung der Provision zwischen der Verkäuferin und der Be- schwerdegegnerin einzuwenden gewesen bzw. hätte dies keinen Einfluss auf die eigene Vertragspflicht. Trotz der soeben erwähnten Argumentation deutet die Beschwerdeführerin in ih- ren Eingaben an, dass sie über das Bestehen einer Schuldpflicht im Generellen getäuscht worden sei und eine Nichtschuld bezahlt habe. Die Beschwerdegegne- rin sei von der Beschwerdeführerin nie formell mit der Vermittlung einer Liegen- schaft beauftragt worden. Würde man hiervon ausgehen, wäre bereits deshalb das Vorliegen eines Irrtums über die Schuldpflicht kritisch zu betrachten, da die Beschwerdeführerin ja selbst zugibt, keinen Vertrag abgeschlossen zu haben. Hätte sich die Beschwerdeführerin tatsächlich in einem Irrtum betreffend einer zu zahlenden Schuld befunden, welcher durch das Fordern einer Kommission, das Ausstellen und Mahnen der entsprechenden Rechnung - vor dem Hintergrund der von der Beschwerdeführerin dem Sachverhalt zugrunde gelegten italienischen Rechtsordnung - verursacht und glaubhaft gemacht worden wäre, müsste man zumindest die Arglistigkeit des Vorgehens der Beschwerdegegnerin verneinen. Es fehlt an qualifiziert falschen Angaben seitens der Beschwerdegegnerin. Sie bedi- ente sich weder besonderer Machenschaften noch errichtete sie ein sog. Lügen- gebäude. Die Beschwerdegegnerin hat die Beschwerdeführerin nicht von der Überprüfung der Rechtmässigkeit der in Rechnung gestellten Provision abgehal- ten. Für die Beschwerdeführerin wäre es zumutbar gewesen - wenn nicht sogar angezeigt -, das tatsächliche Vorliegen der Pflicht zur Zahlung einer Kommission zu überprüfen, gerade weil sie keinen formellen Auftrag erteilt haben will. Es war für die Beschwerdegegnerin nicht erkenntlich, dass die Beschwerdeführerin die Rechnung nicht überprüfen werde - im Gegenteil. Sie musste damit rechnen, dass eine Rechnung in dieser Höhe in Anbetracht des Wissens der Beschwerdeführe- rin, der Beschwerdegegnerin keinen entsprechenden Mäklerauftrag erteilt zu ha- ben, überprüft werden würde. Zur Annahme von besonderen Umständen oder ei- ner besonderen Vertrauensbeziehung, aufgrund welcher eine Überprüfung er- kenntlich unterlassen worden wäre, besteht kein Anlass. Das von der Beschwerdeführerin ins Recht gelegte E-Mail vom 20. März 2007 mit Betreff „A._____ in O.5_____“, in welchem die Beschwerdegegnerin in einer Sa- che betreffend eines Herrn „E._____ “ dem damaligen Rechtsvertreter der Be- schwerdeführerin anzeigt, eine „commissione“ von 3 %, wovon die Hälfte für ihn sei, verlangen zu wollen, ändert an den gemachten Erwägungen nichts. Dieses Dokument wirft zwar durchaus Fragen auf. Es ist jedoch unklar, welche Rolle dem</w:t>
      </w:r>
    </w:p>
    <w:p>
      <w:r>
        <w:t>Seite 12 — 15 besagten Herr E._____ zukommt, ob dieser ein Kaufinteressent war, inwiefern die Hälfte einer an die Mäklerin zu zahlenden Provision dem damaligen Rechtsvertre- ter der Beschwerdeführerin zugute kommen sollte und wie das Ganze im Zusam- menhang zu dem vorliegenden Verfahren steht. Dies ist jedoch in concreto auch unerheblich, da daran gezweifelt werden kann, ob die Beschwerdeführerin über- haupt einem Irrtum unterlag. Würde man dennoch davon ausgehen, dass keine Schuldpflicht bestand und die Beschwerdeführerin diesbezüglich irrte, kann das Vorgehen der Beschwerdegegnerin nicht als arglistig qualifiziert werden und der Irrtum ist der Beschwerdeführerin im Rahmen der Eigenverantwortlichkeit zuzu- schreiben. Denn wie die Beschwerdeführerin selbst angibt, hat sie darauf vertraut, dass eine solche Zahlung geschuldet ist, weshalb sie sich auch nicht mit dem da- maligen Rechtsvertreter diesbezüglich beriet. Es ist Sache des Zivilgerichts, fest- zustellen, wie die Vereinbarung über die Zahlung von CHF 185‘000.00 rechtlich zu beurteilen ist bzw. welche Gegenleistung damit vergütet wurde und ob evtl. ein Missverhältnis vorliegt. Würde man ein Vertragsverhältnis bejahen, wäre eine Täuschung über eine Nichtschuld ohnehin nicht denkbar. Aufgrund des Gesagten drängt sich die Annahme auf, dass die Beschwerdeführe- rin der Zahlung der in Rechnung gestellten Vergütung in der Höhe von CHF 185‘000.00 ein anderes Motiv zugrunde legte. Anders kann nicht erklärt werden, weshalb sie in Annahme einer fehlenden Beauftragung dennoch eine entspre- chende Kommission zahlte. d) Zusammenfassend kann festgehalten werden, dass die Staatsanwaltschaft Graubünden das Strafverfahren berechtigterweise mit der Verfügung vom 14. Ja- nuar 2013, mitgeteilt am 21. Januar 2013, einstellte. In Erhellung der vorstehen- den Erwägungen erscheint die Wahrscheinlichkeit einer Verurteilung sehr gering. Der Tatverdacht konnte im Sinne von Art. 319 Abs. 1 lit. a StPO nicht erhärtet werden, zudem fehlt es an einer arglistigen Täuschung. Ein allfälliger Irrtum über die Leistungspflicht ist der Eigenverantwortung der Beschwerdeführerin zuzu- schreiben. 7.a) Die Beschwerdeführerin moniert weiter, dass die von ihr gestellten Beweis- anträge vom 2. August 2012 und 6. September 2012 von der Staatsanwaltschaft zu Unrecht abgelehnt worden seien. b) Die Einvernahme von F._____, G._____, H._____, I._____, J._____ und der Beizug der genannten fünf Bundesordner erübrigt sich vor dem Hintergrund der gemachten Erwägungen. Alle diese Zeugen hätten gemäss der Beschwerde-</w:t>
      </w:r>
    </w:p>
    <w:p>
      <w:r>
        <w:t>Seite 13 — 15 führerin bestätigen können, dass die Beschwerdegegnerin bzw. deren Gesell- schaft nicht massgeblich an den Arbeiten beteiligt war. Das gleiche ginge aus den diversen Akten aus den fünf Ordnern hervor. Dies würde jedoch unter Umständen lediglich den Schluss zulassen, dass die Vergütung für die Aufsicht der Bauarbei- ten in Anbetracht der tatsächlichen Verrichtungen zu hoch gewesen wäre. Zu den Fragen, inwiefern eine Provision/Kommission verlangt und über die Pflicht zur Zahlung derselben getäuscht wurde, können die Zeugen sowie die Dokumente in den fünf Ordnern keine weiteren Aufschlüsse liefern. Das Gleiche hat für die Ehe- gatten K._____ und L._____ als Zeugen bzw. für die von denselben mit der Be- schwerdeführerin abgeschlossenen Vereinbarung als Beweismittel zu gelten.</w:t>
      </w:r>
    </w:p>
    <w:p>
      <w:r>
        <w:rPr>
          <w:b/>
        </w:rPr>
        <w:t>E. 8</w:t>
      </w:r>
    </w:p>
    <w:p>
      <w:r>
        <w:t>Vorliegend konnte keine Rechtsverletzung, keine unrichtige oder unvoll- ständige Feststellung des Sachverhalts und keine Unangemessenheit des Ent- scheides der Staatsanwaltschaft Graubünden ausgemacht werden, weshalb das Strafverfahren nach Massgabe von Art. 319 Abs. 1 lit. a und lit. b StPO zu Recht eingestellt worden ist. Die Staatsanwaltschaft Graubünden durfte mit grosser Wahrscheinlichkeit davon ausgehen, dass ein Gericht die Erfüllung des Tatbe- standes des Betrugs durch die Beschwerdegegnerin verneinen würde. 9.a) Gemäss Art. 428 Abs. 1 StPO tragen die Parteien die Kosten des Rechts- mittelverfahrens nach Massgabe ihres Obsiegens oder Unterliegens. Vorliegend ist die Beschwerdeführerin mit ihren Anträgen nicht durchgedrungen und die Be- schwerde wurde im Sinne der Erwägungen vollumfänglich abgewiesen. Demnach gehen die Kosten des Beschwerdeverfahrens zu Lasten der Beschwerdeführerin. Für Entscheide im Beschwerdeverfahren wird eine Gerichtsgebühr von CHF 1'000.00 bis Fr. 5‘000.00 erhoben (vgl. Art. 8 der Verordnung über die Ge- richtsgebühren in Strafverfahren [VGS; BR 350.210]). Die Kosten des vorliegen- den Beschwerdeverfahrens werden auf Fr. 1‘500.-- festgelegt und mit dem von der Beschwerdeführerin geleisteten Vorschuss verrechnet. b) Gemäss Art. 436 Abs. 1 StPO richten sich die Ansprüche auf Entschädi- gung und Genugtuung im Rechtsmittelverfahren nach den Art. 429 - 434 StPO. Die unterliegende Beschwerdeführerin hat die anwaltlich vertretene Beschwerde- gegnerin deshalb unter analoger Anwendung von Art. 432 Abs. 1 in Verbindung mit Art. 436 Abs. 1 StPO ausseramtlich zu entschädigen (vgl. Entscheide des Kan- tonsgerichts von Graubünden, SK2 11 15 und SK2 11 23). Unter Berücksichtigung des zeitlichen Aufwands sowie der Schwierigkeit der Sache erscheint eine Ent- schädigung in der Höhe von CHF 1‘500.00 einschliesslich Mehrwertsteuer als an-</w:t>
      </w:r>
    </w:p>
    <w:p>
      <w:r>
        <w:t>Seite 14 — 15 gemessen. Die Beschwerdeführerin ist daher zu verpflichten, die Beschwerdegeg- nerin mit CHF 1‘500.00 einschliesslich Mehrwertsteuer ausseramtlich zu entschä- digen.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